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西藏</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西藏</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(按准考证号排序)</w:t>
      </w:r>
    </w:p>
    <w:tbl>
      <w:tblPr>
        <w:tblStyle w:val="6"/>
        <w:tblW w:w="8645" w:type="dxa"/>
        <w:jc w:val="center"/>
        <w:tblLayout w:type="fixed"/>
        <w:tblCellMar>
          <w:top w:w="0" w:type="dxa"/>
          <w:left w:w="108" w:type="dxa"/>
          <w:bottom w:w="0" w:type="dxa"/>
          <w:right w:w="108" w:type="dxa"/>
        </w:tblCellMar>
      </w:tblPr>
      <w:tblGrid>
        <w:gridCol w:w="2234"/>
        <w:gridCol w:w="957"/>
        <w:gridCol w:w="1170"/>
        <w:gridCol w:w="2125"/>
        <w:gridCol w:w="137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5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西藏调查总队业务处室二级主任科员及以下（400110126001）</w:t>
            </w:r>
          </w:p>
        </w:tc>
        <w:tc>
          <w:tcPr>
            <w:tcW w:w="95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111.5</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张鹏程</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135114040600204</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b/>
                <w:sz w:val="24"/>
                <w:szCs w:val="24"/>
                <w:lang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裴彬彬</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135132010303324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张磊</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135132050106204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吴宇思</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135150011700120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王胭</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135150020101407</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彭博</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135153061000409</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西藏调查总队业务处室二级主任科员及以下（400110126002）</w:t>
            </w:r>
          </w:p>
        </w:tc>
        <w:tc>
          <w:tcPr>
            <w:tcW w:w="95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10.3</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程耀辉</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129141050101429</w:t>
            </w:r>
          </w:p>
        </w:tc>
        <w:tc>
          <w:tcPr>
            <w:tcW w:w="137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王学健</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135137070101230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邓童心</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135150020100202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刘洋</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135150020100320</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5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eastAsia="仿宋_GB2312"/>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杨俊峰</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eastAsia="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135151011402217</w:t>
            </w:r>
          </w:p>
        </w:tc>
        <w:tc>
          <w:tcPr>
            <w:tcW w:w="137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2305" w:hRule="exact"/>
          <w:jc w:val="center"/>
        </w:trPr>
        <w:tc>
          <w:tcPr>
            <w:tcW w:w="2234" w:type="dxa"/>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西藏调查总队业务处室一级主任科员及以下（40011012600</w:t>
            </w:r>
            <w:r>
              <w:rPr>
                <w:rFonts w:hint="eastAsia" w:ascii="仿宋_GB2312" w:eastAsia="仿宋_GB2312"/>
                <w:sz w:val="24"/>
                <w:szCs w:val="24"/>
                <w:lang w:val="en-US" w:eastAsia="zh-CN"/>
              </w:rPr>
              <w:t>3</w:t>
            </w:r>
            <w:r>
              <w:rPr>
                <w:rFonts w:hint="eastAsia" w:ascii="仿宋_GB2312" w:eastAsia="仿宋_GB2312"/>
                <w:sz w:val="24"/>
                <w:szCs w:val="24"/>
              </w:rPr>
              <w:t>）</w:t>
            </w:r>
          </w:p>
        </w:tc>
        <w:tc>
          <w:tcPr>
            <w:tcW w:w="957"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薛峰</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135114230100124</w:t>
            </w:r>
          </w:p>
        </w:tc>
        <w:tc>
          <w:tcPr>
            <w:tcW w:w="137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日喀则调查队二级主任科员及以下</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（400110126004）</w:t>
            </w:r>
          </w:p>
        </w:tc>
        <w:tc>
          <w:tcPr>
            <w:tcW w:w="957" w:type="dxa"/>
            <w:vMerge w:val="restart"/>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119.9</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朱金乐</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135236013401518</w:t>
            </w:r>
          </w:p>
        </w:tc>
        <w:tc>
          <w:tcPr>
            <w:tcW w:w="1370" w:type="dxa"/>
            <w:vMerge w:val="restart"/>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江文</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135236020201121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rPr>
            </w:pPr>
          </w:p>
        </w:tc>
        <w:tc>
          <w:tcPr>
            <w:tcW w:w="95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eastAsia="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张楚</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135250012101905</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山南调查队二级主任科员及以下</w:t>
            </w:r>
          </w:p>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（400110126005）</w:t>
            </w:r>
          </w:p>
        </w:tc>
        <w:tc>
          <w:tcPr>
            <w:tcW w:w="957"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122.9</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童瑶</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135232010503928</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傅静</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135237060300406</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李贞</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135253292302225</w:t>
            </w:r>
          </w:p>
        </w:tc>
        <w:tc>
          <w:tcPr>
            <w:tcW w:w="137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阿里调查队二级主任科员及以下</w:t>
            </w:r>
          </w:p>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（400110126006）</w:t>
            </w:r>
          </w:p>
        </w:tc>
        <w:tc>
          <w:tcPr>
            <w:tcW w:w="957"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117</w:t>
            </w: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闫晓东</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135214011800128</w:t>
            </w:r>
          </w:p>
        </w:tc>
        <w:tc>
          <w:tcPr>
            <w:tcW w:w="137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5</w:t>
            </w:r>
            <w:r>
              <w:rPr>
                <w:rFonts w:hint="eastAsia" w:ascii="仿宋_GB2312" w:eastAsia="仿宋_GB2312"/>
                <w:b/>
                <w:sz w:val="24"/>
                <w:szCs w:val="24"/>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奥德胜</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135214230101216</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黄志航</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135241110200517</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牛杲旸</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135242011401325</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吉唅</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135253060202726</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p>
        </w:tc>
        <w:tc>
          <w:tcPr>
            <w:tcW w:w="95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sz w:val="24"/>
                <w:szCs w:val="24"/>
              </w:rPr>
            </w:pPr>
          </w:p>
        </w:tc>
        <w:tc>
          <w:tcPr>
            <w:tcW w:w="11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李沁</w:t>
            </w:r>
          </w:p>
        </w:tc>
        <w:tc>
          <w:tcPr>
            <w:tcW w:w="2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135261010401914</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tbl>
      <w:tblPr>
        <w:tblStyle w:val="7"/>
        <w:tblpPr w:leftFromText="180" w:rightFromText="180" w:vertAnchor="text" w:tblpX="10217" w:tblpY="-9435"/>
        <w:tblOverlap w:val="never"/>
        <w:tblW w:w="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21" w:type="dxa"/>
          </w:tcPr>
          <w:p>
            <w:pPr>
              <w:autoSpaceDN w:val="0"/>
              <w:spacing w:line="600" w:lineRule="exact"/>
              <w:rPr>
                <w:rFonts w:hint="eastAsia" w:eastAsia="黑体"/>
                <w:sz w:val="32"/>
                <w:szCs w:val="32"/>
                <w:shd w:val="clear" w:color="auto" w:fill="FFFFFF"/>
                <w:vertAlign w:val="baseline"/>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前确认是否参加面试，确认方式为电子邮件（或传真等）。要求如下：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发送电子邮件至zdrs.xz@dcd.stats.gov.cn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（或传真至</w:t>
      </w:r>
      <w:r>
        <w:rPr>
          <w:rFonts w:hint="eastAsia" w:ascii="仿宋_GB2312" w:eastAsia="仿宋_GB2312"/>
          <w:color w:val="000000"/>
          <w:sz w:val="32"/>
          <w:szCs w:val="32"/>
          <w:shd w:val="clear" w:color="auto" w:fill="FFFFFF"/>
          <w:lang w:val="en-US" w:eastAsia="zh-CN"/>
        </w:rPr>
        <w:t>0891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6830950</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0891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6830950</w:t>
      </w:r>
      <w:r>
        <w:rPr>
          <w:rFonts w:hint="eastAsia" w:ascii="仿宋_GB2312" w:eastAsia="仿宋_GB2312"/>
          <w:color w:val="000000"/>
          <w:sz w:val="32"/>
          <w:szCs w:val="32"/>
          <w:shd w:val="clear" w:color="auto" w:fill="FFFFFF"/>
        </w:rPr>
        <w:t>或发送扫描件至zdrs.xz@dcd.stats.gov.cn。</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23</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日进行，上午9</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00开始。参加面试的考生须于当日上午8</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w:t>
      </w:r>
      <w:r>
        <w:rPr>
          <w:rFonts w:hint="eastAsia" w:ascii="仿宋_GB2312" w:eastAsia="仿宋_GB2312"/>
          <w:b/>
          <w:sz w:val="32"/>
          <w:szCs w:val="32"/>
          <w:shd w:val="clear" w:color="auto" w:fill="FFFFFF"/>
          <w:lang w:val="en-US" w:eastAsia="zh-CN"/>
        </w:rPr>
        <w:t>:</w:t>
      </w:r>
      <w:r>
        <w:rPr>
          <w:rFonts w:hint="eastAsia" w:ascii="仿宋_GB2312" w:eastAsia="仿宋_GB2312"/>
          <w:b/>
          <w:sz w:val="32"/>
          <w:szCs w:val="32"/>
          <w:shd w:val="clear" w:color="auto" w:fill="FFFFFF"/>
        </w:rPr>
        <w:t>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highlight w:val="none"/>
          <w:lang w:val="en-US" w:eastAsia="zh-CN"/>
        </w:rPr>
        <w:t>国家统计局西藏调查总队办公楼7楼（西藏自治区拉萨市北京西路26号）</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w:t>
      </w:r>
      <w:bookmarkStart w:id="1" w:name="_GoBack"/>
      <w:bookmarkEnd w:id="1"/>
      <w:r>
        <w:rPr>
          <w:rFonts w:hint="eastAsia" w:ascii="仿宋_GB2312" w:hAnsi="黑体" w:eastAsia="仿宋_GB2312"/>
          <w:sz w:val="32"/>
          <w:szCs w:val="32"/>
        </w:rPr>
        <w:t>有人员的平均分，按综合成绩从高到低的顺序1:1确定考察和体检人选。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日进行，请于当天上午</w:t>
      </w:r>
      <w:r>
        <w:rPr>
          <w:rFonts w:hint="eastAsia" w:ascii="仿宋_GB2312" w:eastAsia="仿宋_GB2312"/>
          <w:szCs w:val="32"/>
          <w:shd w:val="clear"/>
          <w:lang w:val="en-US" w:eastAsia="zh-CN"/>
        </w:rPr>
        <w:t>8:30</w:t>
      </w:r>
      <w:r>
        <w:rPr>
          <w:rFonts w:hint="eastAsia" w:ascii="仿宋_GB2312" w:eastAsia="仿宋_GB2312"/>
          <w:szCs w:val="32"/>
          <w:shd w:val="clear"/>
        </w:rPr>
        <w:t>在</w:t>
      </w:r>
      <w:r>
        <w:rPr>
          <w:rFonts w:hint="eastAsia" w:ascii="仿宋_GB2312" w:eastAsia="仿宋_GB2312"/>
          <w:szCs w:val="32"/>
          <w:shd w:val="clear"/>
          <w:lang w:val="en-US" w:eastAsia="zh-CN"/>
        </w:rPr>
        <w:t>国家统计局西藏调查总队大院</w:t>
      </w:r>
      <w:r>
        <w:rPr>
          <w:rFonts w:hint="eastAsia" w:ascii="仿宋_GB2312" w:eastAsia="仿宋_GB2312"/>
          <w:szCs w:val="32"/>
          <w:shd w:val="clear"/>
        </w:rPr>
        <w:t>集合</w:t>
      </w:r>
      <w:r>
        <w:rPr>
          <w:rFonts w:hint="eastAsia" w:ascii="仿宋_GB2312" w:eastAsia="仿宋_GB2312"/>
          <w:szCs w:val="32"/>
          <w:shd w:val="clear" w:color="auto" w:fill="FFFFFF"/>
        </w:rPr>
        <w:t>，届时统一前往，请考生合理安排好行程，注意安全。体检费用由</w:t>
      </w:r>
      <w:r>
        <w:rPr>
          <w:rFonts w:hint="eastAsia" w:ascii="仿宋_GB2312" w:eastAsia="仿宋_GB2312"/>
          <w:szCs w:val="32"/>
          <w:shd w:val="clear" w:color="auto" w:fill="FFFFFF"/>
          <w:lang w:eastAsia="zh-CN"/>
        </w:rPr>
        <w:t>考生本人</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lang w:val="en-US" w:eastAsia="zh-CN"/>
        </w:rPr>
        <w:t>0891</w:t>
      </w:r>
      <w:r>
        <w:rPr>
          <w:rFonts w:hint="eastAsia" w:ascii="仿宋_GB2312" w:eastAsia="仿宋_GB2312"/>
          <w:sz w:val="32"/>
        </w:rPr>
        <w:t>-6830950</w:t>
      </w:r>
      <w:r>
        <w:rPr>
          <w:rFonts w:hint="eastAsia" w:ascii="仿宋_GB2312" w:eastAsia="仿宋_GB2312"/>
          <w:sz w:val="32"/>
          <w:szCs w:val="32"/>
          <w:shd w:val="clear" w:color="auto" w:fill="FFFFFF"/>
        </w:rPr>
        <w:t>（电话</w:t>
      </w:r>
      <w:r>
        <w:rPr>
          <w:rFonts w:hint="eastAsia" w:ascii="仿宋_GB2312" w:eastAsia="仿宋_GB2312"/>
          <w:sz w:val="32"/>
          <w:szCs w:val="32"/>
          <w:shd w:val="clear" w:color="auto" w:fill="FFFFFF"/>
          <w:lang w:eastAsia="zh-CN"/>
        </w:rPr>
        <w:t>兼</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西藏</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DFCFCE"/>
    <w:rsid w:val="51E31065"/>
    <w:rsid w:val="5217023B"/>
    <w:rsid w:val="559D2106"/>
    <w:rsid w:val="57E035B9"/>
    <w:rsid w:val="591C553F"/>
    <w:rsid w:val="5BE76CD7"/>
    <w:rsid w:val="5C0A0595"/>
    <w:rsid w:val="5D7F3854"/>
    <w:rsid w:val="5DFD4DC8"/>
    <w:rsid w:val="5FFFE348"/>
    <w:rsid w:val="6277079A"/>
    <w:rsid w:val="64AF38BD"/>
    <w:rsid w:val="66A9277E"/>
    <w:rsid w:val="687142E8"/>
    <w:rsid w:val="69F3315F"/>
    <w:rsid w:val="6CB23063"/>
    <w:rsid w:val="6E9D5EB6"/>
    <w:rsid w:val="6F416B95"/>
    <w:rsid w:val="75DDDEAD"/>
    <w:rsid w:val="760E5F3E"/>
    <w:rsid w:val="76E96F69"/>
    <w:rsid w:val="78B6041B"/>
    <w:rsid w:val="79D85F74"/>
    <w:rsid w:val="7AB855E2"/>
    <w:rsid w:val="7AC65BFC"/>
    <w:rsid w:val="7AFE923A"/>
    <w:rsid w:val="7D761C62"/>
    <w:rsid w:val="7FBE4F85"/>
    <w:rsid w:val="9DB92C2F"/>
    <w:rsid w:val="A3D4DE6E"/>
    <w:rsid w:val="A7FD147C"/>
    <w:rsid w:val="A9753576"/>
    <w:rsid w:val="A9EFF219"/>
    <w:rsid w:val="B5BF6B3B"/>
    <w:rsid w:val="BBF9212D"/>
    <w:rsid w:val="BFDD2ED4"/>
    <w:rsid w:val="BFE6B046"/>
    <w:rsid w:val="DFAFA9F0"/>
    <w:rsid w:val="DFB5983D"/>
    <w:rsid w:val="E9BA053E"/>
    <w:rsid w:val="EF9B7E15"/>
    <w:rsid w:val="EFEF2FC7"/>
    <w:rsid w:val="EFFF0A0B"/>
    <w:rsid w:val="F5FF262B"/>
    <w:rsid w:val="F6EE61DC"/>
    <w:rsid w:val="FD7FAE0A"/>
    <w:rsid w:val="FDFB1150"/>
    <w:rsid w:val="FFDE8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4"/>
    <w:qFormat/>
    <w:uiPriority w:val="99"/>
    <w:rPr>
      <w:kern w:val="2"/>
      <w:sz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2024-01-28T00:27:00Z</cp:lastPrinted>
  <dcterms:modified xsi:type="dcterms:W3CDTF">2024-02-01T16:07:04Z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