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spacing w:before="0" w:beforeAutospacing="0" w:after="0" w:afterAutospacing="0"/>
        <w:jc w:val="center"/>
        <w:rPr>
          <w:rFonts w:hint="eastAsia" w:ascii="黑体" w:eastAsia="黑体" w:cs="Arial"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 w:cs="Arial"/>
          <w:bCs/>
          <w:sz w:val="44"/>
          <w:szCs w:val="44"/>
        </w:rPr>
        <w:t>202</w:t>
      </w:r>
      <w:r>
        <w:rPr>
          <w:rFonts w:hint="default" w:ascii="黑体" w:eastAsia="黑体" w:cs="Arial"/>
          <w:bCs/>
          <w:sz w:val="44"/>
          <w:szCs w:val="44"/>
          <w:lang w:val="en"/>
        </w:rPr>
        <w:t>1</w:t>
      </w:r>
      <w:r>
        <w:rPr>
          <w:rFonts w:hint="eastAsia" w:ascii="黑体" w:eastAsia="黑体" w:cs="Arial"/>
          <w:bCs/>
          <w:sz w:val="44"/>
          <w:szCs w:val="44"/>
        </w:rPr>
        <w:t>年度国家</w:t>
      </w:r>
      <w:r>
        <w:rPr>
          <w:rFonts w:ascii="黑体" w:eastAsia="黑体" w:cs="Arial"/>
          <w:bCs/>
          <w:sz w:val="44"/>
          <w:szCs w:val="44"/>
        </w:rPr>
        <w:t>统计局重大统计专项</w:t>
      </w:r>
    </w:p>
    <w:p>
      <w:pPr>
        <w:pStyle w:val="3"/>
        <w:adjustRightInd w:val="0"/>
        <w:snapToGrid w:val="0"/>
        <w:spacing w:before="0" w:beforeAutospacing="0" w:after="0" w:afterAutospacing="0"/>
        <w:jc w:val="center"/>
        <w:rPr>
          <w:rFonts w:hint="eastAsia" w:ascii="黑体" w:eastAsia="黑体" w:cs="Arial"/>
          <w:bCs/>
          <w:sz w:val="28"/>
          <w:szCs w:val="28"/>
        </w:rPr>
      </w:pPr>
    </w:p>
    <w:tbl>
      <w:tblPr>
        <w:tblStyle w:val="4"/>
        <w:tblW w:w="90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4819"/>
        <w:gridCol w:w="993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立项编号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负责人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2021ZX01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大数据资源与政府统计产品需求契合度研究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苏毓腾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深圳前海数据服务有限公司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2021ZX02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政府统计信息共享研究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秦建华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2021ZX03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国家级新区统计体系研究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穆红英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大连金普新区统计局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2021ZX04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经济综合监测预警方法研究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张宇欣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淘数科技（北京）有限公司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2021ZX05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统计信息发布和宣传引导研究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张婵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浙江大学传媒与国际文化学院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2021ZX06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我国企业生命周期规律性研究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宋旭光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北京师范大学统计学院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2021ZX07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生态环境统计监测指标体系研究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何立环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中国环境监测总站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2021ZX08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其他知识产权产品投资的统计范围、内涵、统计方法及测度研究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关会娟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首都经济贸易大学统计学院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2021ZX09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基于通讯大数据的人口统计动态监测应用研究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张晓青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山东师范大学地理与环境学院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2021ZX10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企业创新能力统计监测研究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吴翌琳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中国人民大学统计学院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2021ZX11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基于时间利用数据的民生福祉改善研究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余碧莹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北京理工大学管理与经济学院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2021ZX12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文化高质量发展指标体系研究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魏鹏举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中央财经大学文化经济研究院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2021ZX13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农业农村现代化指标体系及测度研究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臧良震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中国农业科学院农业经济与发展研究所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2021ZX14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乡村振兴监测指标体系研究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张清津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山东社会科学院农村发展研究所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2021ZX15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住户类调查样本抽选、轮换和校准方法研究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岳希明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中国人民大学财政金融学院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2021ZX16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大数据在住户调查数据采集和数据评估中的应用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程英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国家统计局上海调查总队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2021ZX17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统计高层次（领军）人才队伍建设研究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王晓军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中国人民大学统计学院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2021ZX18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流通产业发展指数编制研究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袁野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京东科技集团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2021ZX19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经购买力平价调整的居民可支配收入国际比较研究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史代敏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西南财经大学统计学院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2021ZX20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新发展阶段的高质量发展综合绩效评价体系与测度研究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甄峰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中国人民大学统计学院</w:t>
            </w:r>
          </w:p>
        </w:tc>
      </w:tr>
    </w:tbl>
    <w:p>
      <w:pPr>
        <w:pStyle w:val="3"/>
        <w:spacing w:before="156" w:beforeLines="50" w:beforeAutospacing="0" w:after="156" w:afterLines="50" w:afterAutospacing="0"/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AA48B"/>
    <w:rsid w:val="6FAAA48B"/>
    <w:rsid w:val="7FFF0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2021-08-26T00:18:00Z</dcterms:created>
  <dc:creator>kylin</dc:creator>
  <cp:lastModifiedBy>kylin</cp:lastModifiedBy>
  <dcterms:modified xsi:type="dcterms:W3CDTF">2021-08-25T16:19:43Z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